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/>
          <w:sz w:val="24"/>
          <w:szCs w:val="24"/>
        </w:rPr>
        <w:t xml:space="preserve">Обеспечение доступным и комфортным жильем жителей Белоярского района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5"/>
        <w:ind w:right="-23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875"/>
        <w:numPr>
          <w:ilvl w:val="0"/>
          <w:numId w:val="1"/>
        </w:numPr>
        <w:ind w:right="-23"/>
        <w:rPr>
          <w:szCs w:val="24"/>
        </w:rPr>
      </w:pPr>
      <w:r>
        <w:rPr>
          <w:szCs w:val="24"/>
        </w:rPr>
        <w:t xml:space="preserve">Основные положения</w:t>
      </w:r>
      <w:r>
        <w:rPr>
          <w:szCs w:val="24"/>
        </w:rPr>
      </w:r>
      <w:r>
        <w:rPr>
          <w:szCs w:val="24"/>
        </w:rPr>
      </w:r>
    </w:p>
    <w:p>
      <w:pPr>
        <w:pStyle w:val="875"/>
        <w:ind w:left="720" w:right="-23"/>
        <w:jc w:val="both"/>
        <w:rPr>
          <w:color w:val="ff0000"/>
          <w:szCs w:val="24"/>
        </w:rPr>
      </w:pPr>
      <w:r>
        <w:rPr>
          <w:color w:val="ff0000"/>
          <w:szCs w:val="24"/>
        </w:rPr>
      </w:r>
      <w:r>
        <w:rPr>
          <w:color w:val="ff0000"/>
          <w:szCs w:val="24"/>
        </w:rPr>
      </w:r>
      <w:r>
        <w:rPr>
          <w:color w:val="ff0000"/>
          <w:szCs w:val="24"/>
        </w:rPr>
      </w:r>
    </w:p>
    <w:tbl>
      <w:tblPr>
        <w:tblW w:w="15312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9"/>
        <w:gridCol w:w="94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889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Куратор муниципальной программы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Первый заместитель главы Белоярского района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889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Ответственный исполнитель муниципальной программы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Управление жилищно-коммунального хозяйства администрации Белоярского района (далее – УЖКХ)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889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Период реализации муниципальной программы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2025-2030 годы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/>
        </w:trPr>
        <w:tc>
          <w:tcPr>
            <w:tcW w:w="5889" w:type="dxa"/>
            <w:vAlign w:val="top"/>
            <w:vMerge w:val="restart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Цель 1 «Создание условий и механизмов для жилищного строительства, обеспечения доступности жилья на территории Белоярского района»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/>
        </w:trPr>
        <w:tc>
          <w:tcPr>
            <w:tcW w:w="5889" w:type="dxa"/>
            <w:vAlign w:val="top"/>
            <w:vMerge w:val="continue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Цель 2 «Улучшение жилищных условий граждан Белоярского района и создание условий, способствующих повышению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качества жилищного обеспечения населения Белоярского района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6"/>
        </w:trPr>
        <w:tc>
          <w:tcPr>
            <w:tcW w:w="5889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Направления (подпрограммы) муниципальной программы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 w:bidi="ar"/>
              </w:rPr>
              <w:t xml:space="preserve">1. «Содействие развитию жилищного строительства на территории Белоярского района»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zh-CN" w:bidi="ar"/>
              </w:rPr>
            </w:r>
          </w:p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 w:bidi="ar"/>
              </w:rPr>
              <w:t xml:space="preserve">2. «Улучшение жилищных условий населения Белоярского района»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889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center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639 881,3 тысяч рублей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W w:w="5889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  <w:tc>
          <w:tcPr>
            <w:tcW w:w="9423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 Комфортная и безопасная среда для жизни.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1.1. показатель «Устойчивое сокращение непригодного для проживания жилищного фонда».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 Государственная программа Ханты-Мансийского автономного округа - Югры «Строительство».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  <w:p>
            <w:pPr>
              <w:pStyle w:val="86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 Государственная программа Ханты-Мансийского автономного округа - Югры «Пространственное развитие и формирование комфортной городской среды».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</w:r>
          </w:p>
        </w:tc>
      </w:tr>
    </w:tbl>
    <w:p>
      <w:pPr>
        <w:pStyle w:val="875"/>
        <w:ind w:left="720" w:right="-23"/>
        <w:jc w:val="both"/>
        <w:rPr>
          <w:color w:val="ff0000"/>
          <w:szCs w:val="24"/>
        </w:rPr>
      </w:pPr>
      <w:r>
        <w:rPr>
          <w:color w:val="ff0000"/>
          <w:szCs w:val="24"/>
        </w:rPr>
      </w:r>
      <w:r>
        <w:rPr>
          <w:color w:val="ff0000"/>
          <w:szCs w:val="24"/>
        </w:rPr>
      </w:r>
      <w:r>
        <w:rPr>
          <w:color w:val="ff0000"/>
          <w:szCs w:val="24"/>
        </w:rPr>
      </w:r>
    </w:p>
    <w:p>
      <w:pPr>
        <w:pStyle w:val="869"/>
        <w:numPr>
          <w:ilvl w:val="0"/>
          <w:numId w:val="1"/>
        </w:numPr>
        <w:ind w:left="0" w:firstLine="0"/>
        <w:jc w:val="center"/>
        <w:pageBreakBefore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Показатели муниципальной программы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869"/>
        <w:ind w:left="72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15168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1"/>
        <w:gridCol w:w="2011"/>
        <w:gridCol w:w="1162"/>
        <w:gridCol w:w="906"/>
        <w:gridCol w:w="671"/>
        <w:gridCol w:w="711"/>
        <w:gridCol w:w="711"/>
        <w:gridCol w:w="671"/>
        <w:gridCol w:w="576"/>
        <w:gridCol w:w="576"/>
        <w:gridCol w:w="567"/>
        <w:gridCol w:w="9"/>
        <w:gridCol w:w="2888"/>
        <w:gridCol w:w="1741"/>
        <w:gridCol w:w="8"/>
        <w:gridCol w:w="1409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N п/п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Единица измерения (по ОКЕИ)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/>
            <w:bookmarkStart w:id="0" w:name="RANGE!D13"/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Базовое значение</w:t>
            </w:r>
            <w:bookmarkEnd w:id="0"/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812" w:type="dxa"/>
            <w:vAlign w:val="center"/>
            <w:textDirection w:val="lrTb"/>
            <w:noWrap w:val="false"/>
          </w:tcPr>
          <w:p>
            <w:pPr>
              <w:pStyle w:val="869"/>
              <w:ind w:right="-53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/>
            <w:bookmarkStart w:id="1" w:name="RANGE!L13"/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Документ</w:t>
            </w:r>
            <w:bookmarkEnd w:id="1"/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/>
            <w:bookmarkStart w:id="2" w:name="RANGE!M13"/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Ответственный за достижение показателя</w:t>
            </w:r>
            <w:bookmarkEnd w:id="2"/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8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8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68" w:type="dxa"/>
            <w:vAlign w:val="center"/>
            <w:textDirection w:val="lrTb"/>
            <w:noWrap w:val="false"/>
          </w:tcPr>
          <w:p>
            <w:pPr>
              <w:pStyle w:val="869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Цель 1 «Создание условий и механизмов для жилищного строительства, обеспечения доступности жилья на территории Белоярского района»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trHeight w:val="117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1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Объем жилищного строительства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тысяч квадратных метров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7,8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5,0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5,0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5,0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6,0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7,0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7,0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88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Постановление Правительства ХМАО - Югры от 10.11.2023           №561-п «О государственной программе Ханты-Мансийского автономного округа - Югры «Строительство»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по архитектуре и градостроительству администрации Белоярского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граждан жильем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0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01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Площадь земельных участков, предоставленных для строительства в расчете на 10 тыс.человек населения &lt;*&gt;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гектар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0,6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0,7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0,7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0,8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0,8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0,9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88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Постановление Правительства РФ от 17.12.2012 N 1317 «О мерах по реализации Указа Президента Российской Федерации от 28 апреля 2008 г. № 607 «Об оценке эффективности деятельности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органов местного самоуправления муниципальных, городских округов и муниципальных районов" и подпункта "и" пункта 2 Указа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Комитет муниципальной собственности  администрации Белоярского района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граждан жильем</w: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blPrEx/>
        <w:trPr>
          <w:trHeight w:val="201"/>
        </w:trPr>
        <w:tc>
          <w:tcPr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68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Цель 2 «Улучшение жилищных условий граждан Белоярского района и создание условий, способствующих повышению  качества жилищного обеспечения населения Белоярского района».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</w:tr>
      <w:tr>
        <w:tblPrEx/>
        <w:trPr>
          <w:trHeight w:val="2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11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Количество квадратных метров расселенного аварийного жилищного фонда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тысяч квадратны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 метров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0,0635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0,2946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88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ХМАО - Югры от 01.09.2024 года №325 «Об адресной программе Ханты-Мансийского автономного </w:t>
              <w:br w:type="textWrapping" w:clear="all"/>
              <w:t xml:space="preserve">округа – Югры по переселению граждан из аварийного жилищного фонда на 2024 – 2030 годы»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УЖКХ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устойчивое сокращение непригодного для проживания жилищного фонда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7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11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Количество граждан, расселенных из аварийного жилищного фонда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человек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88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ХМАО - Югры от 01.09.2024 года №325 «Об адресной программе Ханты-Мансийского автономного </w:t>
              <w:br w:type="textWrapping" w:clear="all"/>
              <w:t xml:space="preserve">округа – Югры по переселению граждан из аварийного жилищного фонда на 2024 – 2030 годы»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УЖКХ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устойчивое сокращение непригодного для проживания жилищного фонда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011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процент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6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1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71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9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 w:eastAsia="zh-CN" w:bidi="ar"/>
              </w:rPr>
              <w:t xml:space="preserve">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88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РФ от 17.12.2012 № 1317 «О мерах по реализации Указа Президента Российской Федерации от 28 апреля 2008 г. № 607 «Об оценке эффективности деятельности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органов местного самоуправления муниципальных, городских округов и муниципальных районов" и подпункта "и" пункта 2 Указа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УЖКХ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875"/>
        <w:ind w:right="-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&lt;*&gt;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75"/>
        <w:ind w:right="-23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75"/>
        <w:ind w:right="-23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75"/>
        <w:ind w:right="-23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69"/>
        <w:numPr>
          <w:ilvl w:val="0"/>
          <w:numId w:val="1"/>
        </w:numPr>
        <w:jc w:val="center"/>
        <w:pageBreakBefore/>
        <w:spacing w:after="160" w:line="259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Структура муниципальной программы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15567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3"/>
        <w:gridCol w:w="4910"/>
        <w:gridCol w:w="6382"/>
        <w:gridCol w:w="37"/>
        <w:gridCol w:w="3535"/>
      </w:tblGrid>
      <w:tr>
        <w:tblPrEx/>
        <w:trPr>
          <w:trHeight w:val="7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N п/п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0" w:type="dxa"/>
            <w:vAlign w:val="center"/>
            <w:textDirection w:val="lrTb"/>
            <w:noWrap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Задачи структурного элемента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2" w:type="dxa"/>
            <w:vAlign w:val="center"/>
            <w:textDirection w:val="lrTb"/>
            <w:noWrap w:val="false"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2" w:type="dxa"/>
            <w:vAlign w:val="center"/>
            <w:textDirection w:val="lrTb"/>
            <w:noWrap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Связь с показателями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0" w:type="dxa"/>
            <w:vAlign w:val="top"/>
            <w:textDirection w:val="lrTb"/>
            <w:noWrap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2" w:type="dxa"/>
            <w:vAlign w:val="top"/>
            <w:textDirection w:val="lrTb"/>
            <w:noWrap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2" w:type="dxa"/>
            <w:vAlign w:val="top"/>
            <w:textDirection w:val="lrTb"/>
            <w:noWrap/>
          </w:tcPr>
          <w:p>
            <w:pPr>
              <w:pStyle w:val="86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4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Направление (подпрограмма) «Содействие развитию жилищного строительства на территории Белоярского района»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1.1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864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Комплекс процессных мероприятий «Обеспечение градостроительной деятельности на территории Белоярского района»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9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Ответственный за реализацию:  Управление по архитектуре и градостроительству администрации Белоярского района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годы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44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1.1.1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Обеспечение территории Белоярского района документами территориального планирования, градостроительного зонирования, документацией по планировке территории, правилами благоустройства территорий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Обеспеченность муниципальных образований Белоярского района градостроительной документацией, документами территориального планирования и градостроительного зонирования, соответствующих установленным требованиям.</w:t>
              <w:br w:type="textWrapping" w:clear="all"/>
              <w:t xml:space="preserve">Рациональное использование зем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ельных участков на основе документов территориального планирования, градостроительного зонирования, документации по планировке территории, способствующих дальнейшему развитию жилищной, социальной, инженерной и транспортной инфраструктур Белоярского района.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Объем жилищного строительства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1.2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864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Комплекс процессных мероприятий «Обеспечение мероприятий по освобождению и формированию земельных участков для жилищного строительства»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Ответственный за реализацию:  УЖКХ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, Комитет муниципальной собственности администрации Белоярского района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годы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62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1.2.1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Создание благоприятных условий по освоению свободных и развитию застроенных территорий в границах Белоярского района в целях строительства жилого назначения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Реализация мероприятий по освобождению земельных участков, планируемы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х для жилищного строительства на территории г.п.Белоярский, включая ликвидацию объектов, утративших технологическую необходимость или пришедших в ветхое состояние, систем инженерной инфраструктуры, хозяйственных построек, незаконных (самовольных) строений.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</w:p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Предоставление субсидий из бюджета Белоярского района  бюджетам поселений на осуществление мероприятий по освобождению земельных участков, планируемых для жилищного строительства.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Площадь земельных участков, предоставленных для строительства в расчете на 10 тыс.человек населения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3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864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Направление (подпрограмма)  «Улучшение жилищных условий населения Белоярского района»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2.1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864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Комплекс процессных мероприятий «Улучшение жилищных условий отдельных категорий граждан Белоярского района»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6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Ответственный за реализацию:  УЖКХ, Комитет по финансам администрации Белоярского района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годы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87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2.1.1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Предоставление поддержки на приобретение жилья отдельным категориям граждан, проживающим на территории Белоярского района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Предоставление субсидий участникам специальной военной операции и членам их семей, состоящим на учете в качестве нуждающихся в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жилых помещениях, предоставляемых по договорам социального найма, на приобретение (строительство) жилых помещений в собственность в г.п.Белоярский.</w:t>
              <w:br/>
              <w:t xml:space="preserve">Предоставление субсидий из бюджета Белоярского района  бюджетам поселений на осуществление мероприятий по п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редоставлению субсидий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lang w:eastAsia="zh-CN" w:bidi="ar"/>
              </w:rPr>
            </w:r>
          </w:p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lang w:eastAsia="zh-CN" w:bidi="ar"/>
              </w:rPr>
              <w:t xml:space="preserve">Обеспечение жильем граждан из числа коренных малочисленных народов Ханты-Мансийского автономного округа - Югры.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2.2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864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Комплекс процессных мероприятий «Реализация региональной программы обеспечения устойчивого сокращения  непригодного для проживания жилищного фонда»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04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Ответственный за реализацию:  УЖКХ, Комитет муниципальной собственности администрации Белоярского района, Комитет по финансам администрации Белоярского района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годы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98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2.2.1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Улучшение жилищных условий граждан, проживающих в жилых помещениях, находящихся в многоквартирных домах, признанных аварийными и подлежащими сносу в установленном порядке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8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Осуществление мероприятий по  переселению граждан из аварийного жилищного фонда (признанного таковым с 1 января 2017 года до 1 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нваря 2022 года) в г.п.Белоярский.</w:t>
              <w:br/>
              <w:t xml:space="preserve">Предоставление субсидий из бюджета Белоярского района бюджетам поселений на осуществление мероприятий по переселению граждан из аварийного жилищного фонда (признанного таковым с 1 января 2017 года до 1 января 2022 года)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72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Количество квадратных метров расселенного аварийного жилищного фонда</w:t>
              <w:br w:type="textWrapping" w:clear="all"/>
              <w:t xml:space="preserve">Количество граждан, расселенных из аварийного жилищного фонда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8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2.3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864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Комплекс процессных мероприятий «Строительство и приобретение жилья»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Ответственный за реализацию:  УЖКХ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419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Срок реализации: 2025-2030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годы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35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zh-CN" w:bidi="ar"/>
              </w:rPr>
              <w:t xml:space="preserve">2.3.1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Содействие в обеспечении жильем различных категорий граждан, формирования муниципального жилищного фонда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419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Строительство и (или) приобретение жилья в целях обеспечения жильем различных категорий граждан, формирования муници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пального жилищного фонда, в том числе маневренного.</w:t>
              <w:br/>
              <w:t xml:space="preserve">Предоставление субсидий из бюджета Белоярского района бюджетам поселений на осуществление мероприятий по приобретению жилья в целях переселения граждан из аварийного жилищного фонда (признанного таковым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1 января 2017 года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 до 1 января 2022 года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).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35" w:type="dxa"/>
            <w:vAlign w:val="top"/>
            <w:textDirection w:val="lrTb"/>
            <w:noWrap w:val="false"/>
          </w:tcPr>
          <w:p>
            <w:pPr>
              <w:pStyle w:val="869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561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3" w:type="dxa"/>
            <w:vAlign w:val="top"/>
            <w:textDirection w:val="lrTb"/>
            <w:noWrap/>
          </w:tcPr>
          <w:p>
            <w:pPr>
              <w:pStyle w:val="869"/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2.3.2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910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Улучшение жилищных условий граждан, проживающих в жилых помещениях, находящихся в многоквартирных домах, признанных аварийными и подлежащими сносу в установленном порядке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</w:p>
        </w:tc>
        <w:tc>
          <w:tcPr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419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Осуществление мероприятий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35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  <w:t xml:space="preserve">Количество квадратных метров расселенного аварийного жилищного фонда</w:t>
              <w:br w:type="textWrapping" w:clear="all"/>
              <w:t xml:space="preserve">Количество граждан, расселенных из аварийного жилищного фонда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zh-CN" w:bidi="ar"/>
              </w:rPr>
            </w:r>
          </w:p>
        </w:tc>
      </w:tr>
    </w:tbl>
    <w:p>
      <w:pPr>
        <w:pStyle w:val="869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869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869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869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869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869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869"/>
        <w:numPr>
          <w:ilvl w:val="0"/>
          <w:numId w:val="1"/>
        </w:numPr>
        <w:jc w:val="center"/>
        <w:pageBreakBefore/>
        <w:spacing w:after="160" w:line="259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Style w:val="72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778"/>
        <w:gridCol w:w="1227"/>
        <w:gridCol w:w="1241"/>
        <w:gridCol w:w="1162"/>
        <w:gridCol w:w="1239"/>
        <w:gridCol w:w="1185"/>
        <w:gridCol w:w="1129"/>
        <w:gridCol w:w="1149"/>
      </w:tblGrid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333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</w:tr>
      <w:tr>
        <w:tblPrEx/>
        <w:trPr>
          <w:trHeight w:val="452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«Обеспечение доступным и комфортным жильем жителей Белоярского района» 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261 247,1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123 784,2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125 303,1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125 303,1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639 881,3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233 783,4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122 546,4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124 050,1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124 050,1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608 631,4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27 463,7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1 237,8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1 253,0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1 253,0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31 249,9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539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«Обеспечение градостроительной деятельности на территории Белоярского района»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2 289,2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12 898,7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2 174,7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12 678,2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220,5</w:t>
            </w:r>
            <w:r/>
          </w:p>
        </w:tc>
      </w:tr>
      <w:tr>
        <w:tblPrEx/>
        <w:trPr>
          <w:trHeight w:val="727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   «Обеспечение муниципальных образований Белоярского документами территориального планирования и градостроительного зонирования, документация по планировке территории»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2 289,2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2 121,9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12 898,7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2 174,7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12 678,2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220,5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  «Обеспечение мероприятий по освобождению и формированию земельных участков для жилищного строительства»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30 688,3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26 148,6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27 667,5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27 667,5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112 171,9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28 965,8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25 887,1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27 390,8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27 390,8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109 634,5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1 722,5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2 537,4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«Освобождение земельных участков, планируемых для жилищного строительства на территории Белоярского района"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30 688,3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26 148,6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27 667,5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27 667,5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112 171,9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28 965,8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25 887,1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27 390,8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27 390,8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109 634,5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1 722,5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261,5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276,7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2 537,4</w:t>
            </w:r>
            <w:r/>
          </w:p>
        </w:tc>
      </w:tr>
      <w:tr>
        <w:tblPrEx/>
        <w:trPr>
          <w:trHeight w:val="557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«Улучшение жилищных условий отдельных категорий граждан Белоярского района»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86 358,9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95 513,7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95 513,7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95 513,7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372 900,0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85 877,7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94 558,6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94 558,6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94 558,6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369 553,5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481,2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3 346,5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«Реализация региональной программы обеспечения устойчивого сокращения  непригодного для проживания жилищного фонда» 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  «Строительство и приобретение жилья»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141 910,7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141 910,7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116 765,2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116 765,2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25 145,5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25 145,5</w:t>
            </w:r>
            <w:r/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  «Приобретение жилья и осуществление выплат гражданам, в чьей собственности находятся жилые помещения, входящие в аварийный жилищный фонд»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141 910,7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141 910,7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116 765,2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116 765,2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778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25 145,5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8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25 145,5</w:t>
            </w:r>
            <w:r/>
          </w:p>
        </w:tc>
      </w:tr>
    </w:tbl>
    <w:p>
      <w:pPr>
        <w:pStyle w:val="869"/>
        <w:ind w:left="720"/>
        <w:spacing w:after="160" w:line="259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760" w:right="898" w:bottom="1066" w:left="1020" w:header="720" w:footer="720" w:gutter="0"/>
      <w:pgNumType w:start="1"/>
      <w:cols w:num="1" w:sep="0" w:space="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10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9"/>
    <w:next w:val="86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>
    <w:name w:val="Heading 1 Char"/>
    <w:link w:val="691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9"/>
    <w:next w:val="86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9"/>
    <w:next w:val="869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9"/>
    <w:next w:val="869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9"/>
    <w:next w:val="869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9"/>
    <w:next w:val="869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9"/>
    <w:next w:val="869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9"/>
    <w:next w:val="869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869"/>
    <w:uiPriority w:val="34"/>
    <w:qFormat/>
    <w:pPr>
      <w:contextualSpacing/>
      <w:ind w:left="720"/>
    </w:pPr>
  </w:style>
  <w:style w:type="paragraph" w:styleId="710">
    <w:name w:val="No Spacing"/>
    <w:uiPriority w:val="1"/>
    <w:qFormat/>
    <w:pPr>
      <w:spacing w:before="0" w:after="0" w:line="240" w:lineRule="auto"/>
    </w:pPr>
  </w:style>
  <w:style w:type="paragraph" w:styleId="711">
    <w:name w:val="Title"/>
    <w:basedOn w:val="869"/>
    <w:next w:val="869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link w:val="711"/>
    <w:uiPriority w:val="10"/>
    <w:rPr>
      <w:sz w:val="48"/>
      <w:szCs w:val="48"/>
    </w:rPr>
  </w:style>
  <w:style w:type="paragraph" w:styleId="713">
    <w:name w:val="Subtitle"/>
    <w:basedOn w:val="869"/>
    <w:next w:val="869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link w:val="713"/>
    <w:uiPriority w:val="11"/>
    <w:rPr>
      <w:sz w:val="24"/>
      <w:szCs w:val="24"/>
    </w:rPr>
  </w:style>
  <w:style w:type="paragraph" w:styleId="715">
    <w:name w:val="Quote"/>
    <w:basedOn w:val="869"/>
    <w:next w:val="869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9"/>
    <w:next w:val="869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paragraph" w:styleId="719">
    <w:name w:val="Header"/>
    <w:basedOn w:val="869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Header Char"/>
    <w:link w:val="719"/>
    <w:uiPriority w:val="99"/>
  </w:style>
  <w:style w:type="paragraph" w:styleId="721">
    <w:name w:val="Footer"/>
    <w:basedOn w:val="869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>
    <w:name w:val="Footer Char"/>
    <w:link w:val="721"/>
    <w:uiPriority w:val="99"/>
  </w:style>
  <w:style w:type="paragraph" w:styleId="723">
    <w:name w:val="Caption"/>
    <w:basedOn w:val="869"/>
    <w:next w:val="869"/>
    <w:link w:val="7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link w:val="723"/>
    <w:uiPriority w:val="35"/>
    <w:rPr>
      <w:b/>
      <w:bCs/>
      <w:color w:val="4f81bd" w:themeColor="accent1"/>
      <w:sz w:val="18"/>
      <w:szCs w:val="18"/>
    </w:rPr>
  </w:style>
  <w:style w:type="table" w:styleId="72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1">
    <w:name w:val="Hyperlink"/>
    <w:uiPriority w:val="99"/>
    <w:unhideWhenUsed/>
    <w:rPr>
      <w:color w:val="0000ff" w:themeColor="hyperlink"/>
      <w:u w:val="single"/>
    </w:rPr>
  </w:style>
  <w:style w:type="paragraph" w:styleId="852">
    <w:name w:val="footnote text"/>
    <w:basedOn w:val="86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>
    <w:name w:val="Footnote Text Char"/>
    <w:link w:val="852"/>
    <w:uiPriority w:val="99"/>
    <w:rPr>
      <w:sz w:val="18"/>
    </w:rPr>
  </w:style>
  <w:style w:type="character" w:styleId="854">
    <w:name w:val="footnote reference"/>
    <w:uiPriority w:val="99"/>
    <w:unhideWhenUsed/>
    <w:rPr>
      <w:vertAlign w:val="superscript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next w:val="869"/>
    <w:link w:val="869"/>
    <w:qFormat/>
    <w:pPr>
      <w:jc w:val="both"/>
    </w:pPr>
    <w:rPr>
      <w:rFonts w:ascii="Calibri" w:hAnsi="Calibri"/>
      <w:sz w:val="21"/>
      <w:lang w:val="ru-RU" w:eastAsia="ru-RU" w:bidi="ar-SA"/>
    </w:rPr>
  </w:style>
  <w:style w:type="character" w:styleId="870">
    <w:name w:val="Основной шрифт абзаца"/>
    <w:next w:val="870"/>
    <w:link w:val="869"/>
    <w:uiPriority w:val="1"/>
    <w:semiHidden/>
    <w:unhideWhenUsed/>
  </w:style>
  <w:style w:type="table" w:styleId="871">
    <w:name w:val="Обычная таблица"/>
    <w:next w:val="871"/>
    <w:link w:val="869"/>
    <w:uiPriority w:val="99"/>
    <w:semiHidden/>
    <w:unhideWhenUsed/>
    <w:tblPr/>
  </w:style>
  <w:style w:type="numbering" w:styleId="872">
    <w:name w:val="Нет списка"/>
    <w:next w:val="872"/>
    <w:link w:val="869"/>
    <w:uiPriority w:val="99"/>
    <w:semiHidden/>
    <w:unhideWhenUsed/>
  </w:style>
  <w:style w:type="character" w:styleId="873">
    <w:name w:val="Гиперссылка"/>
    <w:next w:val="873"/>
    <w:link w:val="869"/>
    <w:qFormat/>
    <w:rPr>
      <w:color w:val="0000ff"/>
      <w:u w:val="single"/>
    </w:rPr>
  </w:style>
  <w:style w:type="paragraph" w:styleId="874">
    <w:name w:val="Текст выноски"/>
    <w:basedOn w:val="869"/>
    <w:next w:val="874"/>
    <w:link w:val="884"/>
    <w:qFormat/>
    <w:rPr>
      <w:rFonts w:ascii="Tahoma" w:hAnsi="Tahoma" w:cs="Tahoma"/>
      <w:sz w:val="16"/>
      <w:szCs w:val="16"/>
    </w:rPr>
  </w:style>
  <w:style w:type="paragraph" w:styleId="875">
    <w:name w:val="Основной текст с отступом 3"/>
    <w:basedOn w:val="869"/>
    <w:next w:val="875"/>
    <w:link w:val="887"/>
    <w:qFormat/>
    <w:pPr>
      <w:jc w:val="center"/>
    </w:pPr>
    <w:rPr>
      <w:rFonts w:ascii="Times New Roman" w:hAnsi="Times New Roman" w:eastAsia="Times New Roman" w:cs="Times New Roman"/>
      <w:sz w:val="24"/>
    </w:rPr>
  </w:style>
  <w:style w:type="paragraph" w:styleId="876">
    <w:name w:val="Верхний колонтитул"/>
    <w:basedOn w:val="869"/>
    <w:next w:val="876"/>
    <w:link w:val="885"/>
    <w:uiPriority w:val="99"/>
    <w:unhideWhenUsed/>
    <w:qFormat/>
    <w:pPr>
      <w:tabs>
        <w:tab w:val="center" w:pos="4677" w:leader="none"/>
        <w:tab w:val="right" w:pos="9355" w:leader="none"/>
      </w:tabs>
    </w:pPr>
  </w:style>
  <w:style w:type="paragraph" w:styleId="877">
    <w:name w:val="Нижний колонтитул"/>
    <w:basedOn w:val="869"/>
    <w:next w:val="877"/>
    <w:link w:val="886"/>
    <w:unhideWhenUsed/>
    <w:qFormat/>
    <w:pPr>
      <w:tabs>
        <w:tab w:val="center" w:pos="4677" w:leader="none"/>
        <w:tab w:val="right" w:pos="9355" w:leader="none"/>
      </w:tabs>
    </w:pPr>
  </w:style>
  <w:style w:type="table" w:styleId="878">
    <w:name w:val="Сетка таблицы"/>
    <w:basedOn w:val="871"/>
    <w:next w:val="878"/>
    <w:link w:val="869"/>
    <w:uiPriority w:val="59"/>
    <w:qFormat/>
    <w:pPr>
      <w:spacing w:after="0" w:line="240" w:lineRule="auto"/>
    </w:pPr>
    <w:rPr>
      <w:rFonts w:ascii="Times New Roman" w:hAnsi="Times New Roman" w:eastAsia="SimSun" w:cs="Times New Roman"/>
      <w:sz w:val="20"/>
      <w:szCs w:val="20"/>
      <w:lang w:eastAsia="ru-RU"/>
    </w:rPr>
    <w:tblPr/>
  </w:style>
  <w:style w:type="paragraph" w:styleId="879">
    <w:name w:val="ConsPlusTitle"/>
    <w:next w:val="879"/>
    <w:link w:val="869"/>
    <w:qFormat/>
    <w:pPr>
      <w:widowControl w:val="off"/>
    </w:pPr>
    <w:rPr>
      <w:rFonts w:ascii="Calibri" w:hAnsi="Calibri" w:cs="Calibri"/>
      <w:b/>
      <w:szCs w:val="22"/>
      <w:lang w:val="ru-RU" w:eastAsia="ru-RU" w:bidi="ar-SA"/>
    </w:rPr>
  </w:style>
  <w:style w:type="paragraph" w:styleId="880">
    <w:name w:val="Без интервала"/>
    <w:next w:val="880"/>
    <w:link w:val="869"/>
    <w:uiPriority w:val="1"/>
    <w:qFormat/>
    <w:rPr>
      <w:sz w:val="22"/>
      <w:szCs w:val="22"/>
      <w:lang w:val="ru-RU" w:eastAsia="en-US" w:bidi="ar-SA"/>
    </w:rPr>
  </w:style>
  <w:style w:type="paragraph" w:styleId="881">
    <w:name w:val="ConsPlusNormal"/>
    <w:next w:val="881"/>
    <w:link w:val="888"/>
    <w:qFormat/>
    <w:pPr>
      <w:widowControl w:val="off"/>
    </w:pPr>
    <w:rPr>
      <w:rFonts w:ascii="Calibri" w:hAnsi="Calibri" w:cs="Calibri"/>
      <w:szCs w:val="22"/>
      <w:lang w:val="ru-RU" w:eastAsia="ru-RU" w:bidi="ar-SA"/>
    </w:rPr>
  </w:style>
  <w:style w:type="character" w:styleId="882">
    <w:name w:val="font01"/>
    <w:next w:val="882"/>
    <w:link w:val="869"/>
    <w:qFormat/>
    <w:rPr>
      <w:rFonts w:ascii="Times New Roman" w:hAnsi="Times New Roman" w:cs="Times New Roman"/>
      <w:color w:val="000000"/>
      <w:u w:val="none"/>
    </w:rPr>
  </w:style>
  <w:style w:type="character" w:styleId="883">
    <w:name w:val="font21"/>
    <w:next w:val="883"/>
    <w:link w:val="869"/>
    <w:qFormat/>
    <w:rPr>
      <w:rFonts w:ascii="Times New Roman" w:hAnsi="Times New Roman" w:cs="Times New Roman"/>
      <w:color w:val="000000"/>
      <w:u w:val="none"/>
    </w:rPr>
  </w:style>
  <w:style w:type="character" w:styleId="884">
    <w:name w:val="Текст выноски Знак"/>
    <w:next w:val="884"/>
    <w:link w:val="874"/>
    <w:qFormat/>
    <w:rPr>
      <w:rFonts w:ascii="Tahoma" w:hAnsi="Tahoma" w:cs="Tahoma"/>
      <w:sz w:val="16"/>
      <w:szCs w:val="16"/>
    </w:rPr>
  </w:style>
  <w:style w:type="character" w:styleId="885">
    <w:name w:val="Верхний колонтитул Знак"/>
    <w:next w:val="885"/>
    <w:link w:val="876"/>
    <w:uiPriority w:val="99"/>
    <w:qFormat/>
    <w:rPr>
      <w:rFonts w:ascii="Calibri" w:hAnsi="Calibri" w:cs="Times New Roman"/>
      <w:sz w:val="21"/>
    </w:rPr>
  </w:style>
  <w:style w:type="character" w:styleId="886">
    <w:name w:val="Нижний колонтитул Знак"/>
    <w:next w:val="886"/>
    <w:link w:val="877"/>
    <w:qFormat/>
    <w:rPr>
      <w:rFonts w:ascii="Calibri" w:hAnsi="Calibri" w:cs="Times New Roman"/>
      <w:sz w:val="21"/>
    </w:rPr>
  </w:style>
  <w:style w:type="character" w:styleId="887">
    <w:name w:val="Основной текст с отступом 3 Знак"/>
    <w:next w:val="887"/>
    <w:link w:val="875"/>
    <w:qFormat/>
    <w:rPr>
      <w:rFonts w:eastAsia="Times New Roman"/>
      <w:sz w:val="24"/>
    </w:rPr>
  </w:style>
  <w:style w:type="character" w:styleId="888">
    <w:name w:val="ConsPlusNormal Знак"/>
    <w:next w:val="888"/>
    <w:link w:val="881"/>
    <w:qFormat/>
    <w:rPr>
      <w:rFonts w:ascii="Calibri" w:hAnsi="Calibri" w:eastAsia="SimSun" w:cs="Calibri"/>
      <w:szCs w:val="22"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  <w:style w:type="table" w:styleId="8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Zhkh1</dc:creator>
  <cp:lastModifiedBy>BordunAO</cp:lastModifiedBy>
  <cp:revision>5</cp:revision>
  <dcterms:created xsi:type="dcterms:W3CDTF">2024-12-05T09:35:00Z</dcterms:created>
  <dcterms:modified xsi:type="dcterms:W3CDTF">2025-10-24T11:39:27Z</dcterms:modified>
  <cp:version>1048576</cp:version>
</cp:coreProperties>
</file>